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26B" w:rsidRPr="00D632E8" w:rsidRDefault="007D426B" w:rsidP="007D42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32E8">
        <w:rPr>
          <w:rStyle w:val="a4"/>
          <w:rFonts w:ascii="Times New Roman" w:hAnsi="Times New Roman" w:cs="Times New Roman"/>
          <w:sz w:val="28"/>
          <w:szCs w:val="28"/>
          <w:lang w:val="uk-UA"/>
        </w:rPr>
        <w:t>Аналіз регуляторного впливу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632E8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проекту рішення </w:t>
      </w:r>
      <w:proofErr w:type="spellStart"/>
      <w:r w:rsidRPr="00D632E8">
        <w:rPr>
          <w:rStyle w:val="a4"/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сільської  ради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Style w:val="a4"/>
          <w:lang w:val="uk-UA"/>
        </w:rPr>
        <w:t>«</w:t>
      </w:r>
      <w:r w:rsidRPr="00D632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встановлення розмірів відрахувань на розвиток інженерно </w:t>
      </w:r>
      <w:proofErr w:type="spellStart"/>
      <w:r w:rsidRPr="00D632E8">
        <w:rPr>
          <w:rFonts w:ascii="Times New Roman" w:hAnsi="Times New Roman" w:cs="Times New Roman"/>
          <w:b/>
          <w:sz w:val="28"/>
          <w:szCs w:val="28"/>
          <w:lang w:val="uk-UA"/>
        </w:rPr>
        <w:t>-транспортної</w:t>
      </w:r>
      <w:proofErr w:type="spellEnd"/>
      <w:r w:rsidRPr="00D632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соціальної інфраструктури </w:t>
      </w:r>
      <w:proofErr w:type="spellStart"/>
      <w:r w:rsidRPr="00D632E8">
        <w:rPr>
          <w:rFonts w:ascii="Times New Roman" w:hAnsi="Times New Roman" w:cs="Times New Roman"/>
          <w:b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  <w:r w:rsidRPr="00D632E8">
        <w:rPr>
          <w:rStyle w:val="a4"/>
          <w:lang w:val="uk-UA"/>
        </w:rPr>
        <w:t>»</w:t>
      </w:r>
    </w:p>
    <w:p w:rsidR="007D426B" w:rsidRDefault="007D426B" w:rsidP="007D426B">
      <w:pPr>
        <w:pStyle w:val="a3"/>
        <w:jc w:val="both"/>
        <w:rPr>
          <w:lang w:val="uk-UA"/>
        </w:rPr>
      </w:pPr>
      <w:r>
        <w:t> </w:t>
      </w:r>
    </w:p>
    <w:p w:rsidR="007D426B" w:rsidRPr="00D632E8" w:rsidRDefault="007D426B" w:rsidP="007D426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виконкомом </w:t>
      </w:r>
      <w:proofErr w:type="spellStart"/>
      <w:r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> 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проект рішення </w:t>
      </w:r>
      <w:proofErr w:type="spellStart"/>
      <w:r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«Про затвердження Порядку пайової участі замовників у розвитку інженерно-транспортної та соціальної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ради"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632E8">
        <w:rPr>
          <w:rStyle w:val="a4"/>
          <w:rFonts w:ascii="Times New Roman" w:hAnsi="Times New Roman" w:cs="Times New Roman"/>
          <w:sz w:val="28"/>
          <w:szCs w:val="28"/>
        </w:rPr>
        <w:t>        </w:t>
      </w:r>
      <w:r w:rsidRPr="00D632E8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D426B" w:rsidRPr="00D632E8" w:rsidRDefault="007D426B" w:rsidP="007D426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ідготовлено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40 Закону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».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вимагає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комплексного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проблем,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поліпшенням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стану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подальшим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оновленням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реконструкція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фінансується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D632E8">
        <w:rPr>
          <w:rFonts w:ascii="Times New Roman" w:hAnsi="Times New Roman" w:cs="Times New Roman"/>
          <w:sz w:val="28"/>
          <w:szCs w:val="28"/>
        </w:rPr>
        <w:t xml:space="preserve"> бюджету.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внески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 за право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реалізувати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дасть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компенсувати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залучити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</w:rPr>
        <w:t xml:space="preserve">до благоустрою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  <w:lang w:val="uk-UA"/>
        </w:rPr>
        <w:t>Лудинською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</w:t>
      </w:r>
      <w:r w:rsidRPr="00D632E8">
        <w:rPr>
          <w:rFonts w:ascii="Times New Roman" w:hAnsi="Times New Roman" w:cs="Times New Roman"/>
          <w:sz w:val="28"/>
          <w:szCs w:val="28"/>
        </w:rPr>
        <w:t xml:space="preserve"> радою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розроблявся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 w:rsidRPr="00D632E8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виникла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Порядку,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передбачав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узагальнюючий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вищевказаного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зазначити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діючими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ішеннями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ради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врегульовано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фонду бюджету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через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: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більшість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залучаються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облаштуванні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;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пошкодження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існуючої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будь-якого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боку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стримується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ресурсу бюджету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розв'язання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пункту;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недостатня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капітального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фонду,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інженерно-технічних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мереж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офіційно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не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уповноважені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своєчасністю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повнотою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реєструвати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заяви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готувати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договори 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створенні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вищезазначених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можливе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узагальненого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Порядку 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регулюватиме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зобов'язання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внесків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проблема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негативний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: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юридичні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особи,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потерпають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аварій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зношеної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водопровідної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каналізаційної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гальмуванням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водії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незадовільний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proofErr w:type="gramStart"/>
      <w:r w:rsidRPr="00D632E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незадоволені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станом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Pr="00D632E8">
        <w:rPr>
          <w:rFonts w:ascii="Times New Roman" w:hAnsi="Times New Roman" w:cs="Times New Roman"/>
          <w:sz w:val="28"/>
          <w:szCs w:val="28"/>
        </w:rPr>
        <w:t>;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виконують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ремонтно-будівельні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бюджетні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вчасний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бюджеті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</w:t>
      </w:r>
      <w:r w:rsidRPr="00D632E8">
        <w:rPr>
          <w:rFonts w:ascii="Times New Roman" w:hAnsi="Times New Roman" w:cs="Times New Roman"/>
          <w:sz w:val="28"/>
          <w:szCs w:val="28"/>
        </w:rPr>
        <w:t xml:space="preserve"> громадою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ідприємницької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приводу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володіння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тому,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об'єктом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суспільного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бути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об'єктом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прямих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купівлі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- продажу.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попит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Таким чином,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компенсація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</w:t>
      </w:r>
      <w:r w:rsidRPr="00D632E8">
        <w:rPr>
          <w:rFonts w:ascii="Times New Roman" w:hAnsi="Times New Roman" w:cs="Times New Roman"/>
          <w:sz w:val="28"/>
          <w:szCs w:val="28"/>
        </w:rPr>
        <w:t xml:space="preserve"> бюджету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розширене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здійснюватись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обов'язковим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врахуванням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споживчої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 так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значимості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>.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40 Закону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встановлюються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граничні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нормативи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враховують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регіональних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значимості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першою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вищезазначеної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пункту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встановлюють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Закону.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Запропонований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спрямований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деталізацію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нормативів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ідрахувань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розширене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варіантів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реконструкції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інвестиційних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lastRenderedPageBreak/>
        <w:t>значимість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додатковим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D632E8">
        <w:rPr>
          <w:rFonts w:ascii="Times New Roman" w:hAnsi="Times New Roman" w:cs="Times New Roman"/>
          <w:sz w:val="28"/>
          <w:szCs w:val="28"/>
        </w:rPr>
        <w:t xml:space="preserve"> бюджету;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стимулювати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раціонального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створювати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Метою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мети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D632E8">
        <w:rPr>
          <w:rFonts w:ascii="Times New Roman" w:hAnsi="Times New Roman" w:cs="Times New Roman"/>
          <w:sz w:val="28"/>
          <w:szCs w:val="28"/>
        </w:rPr>
        <w:t xml:space="preserve"> :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вихідних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проектування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будівельних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робі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уповноваження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  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сільської </w:t>
      </w:r>
      <w:r w:rsidRPr="00D632E8">
        <w:rPr>
          <w:rFonts w:ascii="Times New Roman" w:hAnsi="Times New Roman" w:cs="Times New Roman"/>
          <w:sz w:val="28"/>
          <w:szCs w:val="28"/>
        </w:rPr>
        <w:t xml:space="preserve">   ради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контролю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своєчасністю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повнотою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укладення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іально-економічному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;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швидким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темпам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належному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економіку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обраного способу регулювання - забезпечує цілі регулювання порядку залучення сільською радою коштів замовників будівництва для пайової участі в розвитку інженерно-транспортної та соціальної інфраструктури сільської ради;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  <w:t xml:space="preserve">- збільшує надходження до спеціального цільового фонду бюджету сільської ради;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  <w:t xml:space="preserve">- забезпечує вимоги діючого законодавства щодо встановлення порядку розрахунку та розміру пайової участі у розвитку інфраструктури сільської ради;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  <w:t xml:space="preserve">-  - забезпечує залучення громади у вирішення основних питань щодо соціально-економічного розвитку сільської ради.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Механізмом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є: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правового порядку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сільською </w:t>
      </w:r>
      <w:r w:rsidRPr="00D632E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делегування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структурним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підрозділам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   ради   права   для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взаємовідносин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  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  ради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договірних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;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  для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капітальних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вкладень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в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 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приведення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нормативно-правових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lastRenderedPageBreak/>
        <w:t>значення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.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73 Закону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прийняті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обов'язкові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всіма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розташованими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відповідній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об'єднаннями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підприємствами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посадовими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особами, 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громадянами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тимчасово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відповідній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.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дозволить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реконструювати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діючі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об'єкти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івномірному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обґрунтована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запропоноване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прозорість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встановленню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чіткої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D632E8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.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забезпечить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прозорого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організаційно-економічного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 та дозволить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сформувати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науково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обґрунтоване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нормативно-методичне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розширеного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>.</w:t>
      </w:r>
    </w:p>
    <w:p w:rsidR="007D426B" w:rsidRPr="00D632E8" w:rsidRDefault="007D426B" w:rsidP="007D426B">
      <w:pPr>
        <w:pStyle w:val="a3"/>
        <w:rPr>
          <w:rFonts w:ascii="Times New Roman" w:hAnsi="Times New Roman" w:cs="Times New Roman"/>
          <w:sz w:val="28"/>
          <w:szCs w:val="28"/>
        </w:rPr>
      </w:pPr>
      <w:r w:rsidRPr="00D632E8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45"/>
        <w:gridCol w:w="4394"/>
        <w:gridCol w:w="2062"/>
      </w:tblGrid>
      <w:tr w:rsidR="007D426B" w:rsidRPr="00D632E8" w:rsidTr="00EC3CF8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426B" w:rsidRPr="00D632E8" w:rsidRDefault="007D426B" w:rsidP="00EC3C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Сфера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впливу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регуляторного акта 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426B" w:rsidRPr="00D632E8" w:rsidRDefault="007D426B" w:rsidP="00EC3C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426B" w:rsidRPr="00D632E8" w:rsidRDefault="007D426B" w:rsidP="00EC3C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D426B" w:rsidRPr="00D632E8" w:rsidTr="00EC3CF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426B" w:rsidRPr="00D632E8" w:rsidRDefault="007D426B" w:rsidP="00EC3C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Влада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426B" w:rsidRPr="00D632E8" w:rsidRDefault="007D426B" w:rsidP="00EC3C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Збільшення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надходжень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gram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2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сільського</w:t>
            </w:r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бюджету.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spellStart"/>
            <w:proofErr w:type="gram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іальних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   та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економічних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проблем,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пов'язаних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   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фінансуванням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2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</w:t>
            </w:r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426B" w:rsidRPr="00D632E8" w:rsidRDefault="007D426B" w:rsidP="00EC3C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D426B" w:rsidRPr="00D632E8" w:rsidTr="00EC3CF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70"/>
            </w:tblGrid>
            <w:tr w:rsidR="007D426B" w:rsidRPr="00D632E8" w:rsidTr="00EC3CF8">
              <w:trPr>
                <w:tblCellSpacing w:w="0" w:type="dxa"/>
                <w:jc w:val="center"/>
              </w:trPr>
              <w:tc>
                <w:tcPr>
                  <w:tcW w:w="3150" w:type="dxa"/>
                  <w:hideMark/>
                </w:tcPr>
                <w:p w:rsidR="007D426B" w:rsidRPr="00D632E8" w:rsidRDefault="007D426B" w:rsidP="00EC3CF8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Суб'єкти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господарювання</w:t>
                  </w:r>
                  <w:proofErr w:type="spellEnd"/>
                </w:p>
              </w:tc>
            </w:tr>
          </w:tbl>
          <w:p w:rsidR="007D426B" w:rsidRPr="00D632E8" w:rsidRDefault="007D426B" w:rsidP="00EC3C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30"/>
            </w:tblGrid>
            <w:tr w:rsidR="007D426B" w:rsidRPr="00D632E8" w:rsidTr="00EC3CF8">
              <w:trPr>
                <w:tblCellSpacing w:w="0" w:type="dxa"/>
                <w:jc w:val="center"/>
              </w:trPr>
              <w:tc>
                <w:tcPr>
                  <w:tcW w:w="4230" w:type="dxa"/>
                  <w:hideMark/>
                </w:tcPr>
                <w:p w:rsidR="007D426B" w:rsidRPr="00D632E8" w:rsidRDefault="007D426B" w:rsidP="00EC3CF8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Право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реалізувати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</w:t>
                  </w:r>
                  <w:proofErr w:type="gram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ій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проект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будівництва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території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сільської ради</w:t>
                  </w:r>
                </w:p>
              </w:tc>
            </w:tr>
          </w:tbl>
          <w:p w:rsidR="007D426B" w:rsidRPr="00D632E8" w:rsidRDefault="007D426B" w:rsidP="00EC3C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87"/>
            </w:tblGrid>
            <w:tr w:rsidR="007D426B" w:rsidRPr="00D632E8" w:rsidTr="00EC3CF8">
              <w:trPr>
                <w:tblCellSpacing w:w="0" w:type="dxa"/>
                <w:jc w:val="center"/>
              </w:trPr>
              <w:tc>
                <w:tcPr>
                  <w:tcW w:w="2355" w:type="dxa"/>
                  <w:hideMark/>
                </w:tcPr>
                <w:p w:rsidR="007D426B" w:rsidRPr="00D632E8" w:rsidRDefault="007D426B" w:rsidP="00EC3CF8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Сплата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пайової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участі</w:t>
                  </w:r>
                  <w:proofErr w:type="spellEnd"/>
                </w:p>
              </w:tc>
            </w:tr>
          </w:tbl>
          <w:p w:rsidR="007D426B" w:rsidRPr="00D632E8" w:rsidRDefault="007D426B" w:rsidP="00EC3C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426B" w:rsidRPr="00D632E8" w:rsidTr="00EC3CF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70"/>
            </w:tblGrid>
            <w:tr w:rsidR="007D426B" w:rsidRPr="00D632E8" w:rsidTr="00EC3CF8">
              <w:trPr>
                <w:tblCellSpacing w:w="0" w:type="dxa"/>
                <w:jc w:val="center"/>
              </w:trPr>
              <w:tc>
                <w:tcPr>
                  <w:tcW w:w="3150" w:type="dxa"/>
                  <w:hideMark/>
                </w:tcPr>
                <w:p w:rsidR="007D426B" w:rsidRPr="00D632E8" w:rsidRDefault="007D426B" w:rsidP="00EC3CF8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Громадяни</w:t>
                  </w:r>
                  <w:proofErr w:type="spellEnd"/>
                </w:p>
              </w:tc>
            </w:tr>
          </w:tbl>
          <w:p w:rsidR="007D426B" w:rsidRPr="00D632E8" w:rsidRDefault="007D426B" w:rsidP="00EC3C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30"/>
            </w:tblGrid>
            <w:tr w:rsidR="007D426B" w:rsidRPr="00D632E8" w:rsidTr="00EC3CF8">
              <w:trPr>
                <w:tblCellSpacing w:w="0" w:type="dxa"/>
                <w:jc w:val="center"/>
              </w:trPr>
              <w:tc>
                <w:tcPr>
                  <w:tcW w:w="4230" w:type="dxa"/>
                  <w:hideMark/>
                </w:tcPr>
                <w:p w:rsidR="007D426B" w:rsidRPr="00D632E8" w:rsidRDefault="007D426B" w:rsidP="00EC3CF8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Покращення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proofErr w:type="gram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івня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життя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соціального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забезпечення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населення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основі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створення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благодатних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умов для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розвитку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сільської ради</w:t>
                  </w:r>
                </w:p>
              </w:tc>
            </w:tr>
          </w:tbl>
          <w:p w:rsidR="007D426B" w:rsidRPr="00D632E8" w:rsidRDefault="007D426B" w:rsidP="00EC3C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426B" w:rsidRPr="00D632E8" w:rsidRDefault="007D426B" w:rsidP="00EC3C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7D426B" w:rsidRPr="00D632E8" w:rsidRDefault="007D426B" w:rsidP="007D426B">
      <w:pPr>
        <w:pStyle w:val="a3"/>
        <w:rPr>
          <w:rFonts w:ascii="Times New Roman" w:hAnsi="Times New Roman" w:cs="Times New Roman"/>
          <w:sz w:val="28"/>
          <w:szCs w:val="28"/>
        </w:rPr>
      </w:pPr>
      <w:r w:rsidRPr="00D632E8">
        <w:rPr>
          <w:rFonts w:ascii="Times New Roman" w:hAnsi="Times New Roman" w:cs="Times New Roman"/>
          <w:sz w:val="28"/>
          <w:szCs w:val="28"/>
        </w:rPr>
        <w:t> </w:t>
      </w:r>
    </w:p>
    <w:p w:rsidR="007D426B" w:rsidRPr="00D632E8" w:rsidRDefault="007D426B" w:rsidP="007D426B">
      <w:pPr>
        <w:pStyle w:val="a3"/>
        <w:rPr>
          <w:rFonts w:ascii="Times New Roman" w:hAnsi="Times New Roman" w:cs="Times New Roman"/>
          <w:sz w:val="28"/>
          <w:szCs w:val="28"/>
        </w:rPr>
      </w:pPr>
      <w:r w:rsidRPr="00D632E8">
        <w:rPr>
          <w:rFonts w:ascii="Times New Roman" w:hAnsi="Times New Roman" w:cs="Times New Roman"/>
          <w:sz w:val="28"/>
          <w:szCs w:val="28"/>
        </w:rPr>
        <w:t> </w:t>
      </w:r>
    </w:p>
    <w:p w:rsidR="007D426B" w:rsidRPr="00D632E8" w:rsidRDefault="007D426B" w:rsidP="007D426B">
      <w:pPr>
        <w:pStyle w:val="a3"/>
        <w:rPr>
          <w:rFonts w:ascii="Times New Roman" w:hAnsi="Times New Roman" w:cs="Times New Roman"/>
          <w:sz w:val="28"/>
          <w:szCs w:val="28"/>
        </w:rPr>
      </w:pPr>
      <w:r w:rsidRPr="00D632E8">
        <w:rPr>
          <w:rFonts w:ascii="Times New Roman" w:hAnsi="Times New Roman" w:cs="Times New Roman"/>
          <w:sz w:val="28"/>
          <w:szCs w:val="28"/>
        </w:rPr>
        <w:lastRenderedPageBreak/>
        <w:t xml:space="preserve">   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не буде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потребувати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D632E8">
        <w:rPr>
          <w:rFonts w:ascii="Times New Roman" w:hAnsi="Times New Roman" w:cs="Times New Roman"/>
          <w:sz w:val="28"/>
          <w:szCs w:val="28"/>
        </w:rPr>
        <w:t xml:space="preserve"> бюджету.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значним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зовнішнім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фактором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Укра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призвести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регуляторного акта.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Передбачається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обмежувати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строк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запропонованого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регуляторного акта.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вноситимуться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ідсумками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: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дією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-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спрогнозувати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бюджету 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поширюється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запропонованого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   -  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  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),  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залучаються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поінформованості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: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а)   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прочитають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зазначене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друкованих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засобах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б)    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отримають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регуляторний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запитами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в)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отримають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регуляторний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шляхами.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Передбачається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середній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поінформованості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самого проекту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ради «Про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аналізом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Окрім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офіційно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опубліковано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«Про засади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» 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друкованих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засобах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;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час,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витрачатимуться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пов'язаними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витрачаються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пов'язаними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не становить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граничного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діючим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Порядком;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часу,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пов'язані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-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перевищувати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календарних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.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регуляторного акта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планується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можливим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проведенням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іологічного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опитування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повторного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регуляторного акта буде проведено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набрання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426B" w:rsidRDefault="007D426B" w:rsidP="007D426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D426B" w:rsidRDefault="007D426B" w:rsidP="007D426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D426B" w:rsidRDefault="007D426B" w:rsidP="007D426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D426B" w:rsidRDefault="007D426B" w:rsidP="007D426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D426B" w:rsidRDefault="007D426B" w:rsidP="007D426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D426B" w:rsidRPr="00D632E8" w:rsidRDefault="007D426B" w:rsidP="007D426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C0BFC" w:rsidRPr="007D426B" w:rsidRDefault="005C0BFC">
      <w:pPr>
        <w:rPr>
          <w:lang w:val="uk-UA"/>
        </w:rPr>
      </w:pPr>
    </w:p>
    <w:sectPr w:rsidR="005C0BFC" w:rsidRPr="007D426B" w:rsidSect="005C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26B"/>
    <w:rsid w:val="005C0BFC"/>
    <w:rsid w:val="007D4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D426B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Strong"/>
    <w:basedOn w:val="a0"/>
    <w:qFormat/>
    <w:rsid w:val="007D42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1917</Words>
  <Characters>10928</Characters>
  <Application>Microsoft Office Word</Application>
  <DocSecurity>0</DocSecurity>
  <Lines>91</Lines>
  <Paragraphs>25</Paragraphs>
  <ScaleCrop>false</ScaleCrop>
  <Company>Microsoft</Company>
  <LinksUpToDate>false</LinksUpToDate>
  <CharactersWithSpaces>12820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2014-01-20T13:36:00Z</dcterms:created>
  <dcterms:modified xsi:type="dcterms:W3CDTF">2014-01-20T13:36:00Z</dcterms:modified>
</cp:coreProperties>
</file>